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250" w:type="pct"/>
        <w:tblInd w:w="108" w:type="dxa"/>
        <w:tblLook w:val="04A0"/>
      </w:tblPr>
      <w:tblGrid>
        <w:gridCol w:w="1524"/>
        <w:gridCol w:w="650"/>
        <w:gridCol w:w="2224"/>
        <w:gridCol w:w="4807"/>
        <w:gridCol w:w="1675"/>
      </w:tblGrid>
      <w:tr w:rsidR="00F140FD" w:rsidRPr="00F140FD" w:rsidTr="00F140FD">
        <w:trPr>
          <w:trHeight w:val="255"/>
        </w:trPr>
        <w:tc>
          <w:tcPr>
            <w:tcW w:w="1701" w:type="dxa"/>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Level</w:t>
            </w:r>
          </w:p>
        </w:tc>
        <w:tc>
          <w:tcPr>
            <w:tcW w:w="709" w:type="dxa"/>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p>
        </w:tc>
        <w:tc>
          <w:tcPr>
            <w:tcW w:w="7925"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Kabupaten Sarmi</w:t>
            </w:r>
          </w:p>
        </w:tc>
        <w:tc>
          <w:tcPr>
            <w:tcW w:w="1872" w:type="dxa"/>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255"/>
        </w:trPr>
        <w:tc>
          <w:tcPr>
            <w:tcW w:w="2410"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Komponen</w:t>
            </w:r>
          </w:p>
        </w:tc>
        <w:tc>
          <w:tcPr>
            <w:tcW w:w="7925"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A. Hukum dan Kebijakan</w:t>
            </w:r>
          </w:p>
        </w:tc>
        <w:tc>
          <w:tcPr>
            <w:tcW w:w="1872" w:type="dxa"/>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255"/>
        </w:trPr>
        <w:tc>
          <w:tcPr>
            <w:tcW w:w="1701" w:type="dxa"/>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709" w:type="dxa"/>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496" w:type="dxa"/>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9" w:type="dxa"/>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872" w:type="dxa"/>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255"/>
        </w:trPr>
        <w:tc>
          <w:tcPr>
            <w:tcW w:w="2410"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7925"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I. Perencanaan Kehutanan dan Tata Ruang </w:t>
            </w:r>
          </w:p>
        </w:tc>
        <w:tc>
          <w:tcPr>
            <w:tcW w:w="1872" w:type="dxa"/>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780"/>
        </w:trPr>
        <w:tc>
          <w:tcPr>
            <w:tcW w:w="2410"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9797" w:type="dxa"/>
            <w:gridSpan w:val="3"/>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F140FD" w:rsidRPr="00F140FD" w:rsidTr="00F140FD">
        <w:trPr>
          <w:trHeight w:val="975"/>
        </w:trPr>
        <w:tc>
          <w:tcPr>
            <w:tcW w:w="2410" w:type="dxa"/>
            <w:gridSpan w:val="2"/>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Objek Analisis</w:t>
            </w:r>
          </w:p>
        </w:tc>
        <w:tc>
          <w:tcPr>
            <w:tcW w:w="9797" w:type="dxa"/>
            <w:gridSpan w:val="3"/>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1250" w:type="pct"/>
        <w:tblInd w:w="103" w:type="dxa"/>
        <w:tblLook w:val="04A0"/>
      </w:tblPr>
      <w:tblGrid>
        <w:gridCol w:w="701"/>
        <w:gridCol w:w="2349"/>
        <w:gridCol w:w="1372"/>
        <w:gridCol w:w="4759"/>
        <w:gridCol w:w="1704"/>
      </w:tblGrid>
      <w:tr w:rsidR="00F140FD" w:rsidRPr="00F140FD" w:rsidTr="00F140FD">
        <w:trPr>
          <w:trHeight w:val="255"/>
        </w:trPr>
        <w:tc>
          <w:tcPr>
            <w:tcW w:w="640" w:type="dxa"/>
            <w:tcBorders>
              <w:top w:val="single" w:sz="4" w:space="0" w:color="auto"/>
              <w:left w:val="single" w:sz="4" w:space="0" w:color="auto"/>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AIa1</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Data/informasi pembuatan RTRW</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Kepala bagian Hukum Sekretariat Daerah Sarmi(bapak Y.F. Marey) tidak memberikan data ataupun informasi berkaitan dengan pengumpulan data. Katanya harus ada persetujuan atau disposisi dari Bupati. Yang jelas terkendala dengan birokrasi di Pemerintahan Kabupaten Sarmi</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AIa2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Informasi rencana pembentukan RTRW(P)</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AIa3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Pengumuman usulan perubahan peruntukan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AIa4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Kejelasan informasi  yang dapat diakses berdasarkan uji konsekuensi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6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F140FD" w:rsidRPr="00F140FD" w:rsidTr="00F140FD">
        <w:trPr>
          <w:trHeight w:val="103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Objek Analisis</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Petugas khusus yang bertanggung jawab mengelola masukan publik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Dokumentasi setiap masukan (tertulis/tidak tertulis)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respon terhadap masukan yang ada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AIb6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Pelaksanaan proses partisipasi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81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lastRenderedPageBreak/>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F140FD" w:rsidRPr="00F140FD" w:rsidTr="00F140FD">
        <w:trPr>
          <w:trHeight w:val="12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Objek Analisis</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F140FD" w:rsidRPr="00F140FD" w:rsidTr="00F140FD">
        <w:trPr>
          <w:trHeight w:val="255"/>
        </w:trPr>
        <w:tc>
          <w:tcPr>
            <w:tcW w:w="640" w:type="dxa"/>
            <w:tcBorders>
              <w:top w:val="single" w:sz="4" w:space="0" w:color="auto"/>
              <w:left w:val="single" w:sz="4" w:space="0" w:color="auto"/>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AIc1</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540" w:type="dxa"/>
            <w:tcBorders>
              <w:top w:val="single" w:sz="4" w:space="0" w:color="auto"/>
              <w:left w:val="nil"/>
              <w:bottom w:val="single" w:sz="4" w:space="0" w:color="auto"/>
              <w:right w:val="single" w:sz="4" w:space="0" w:color="auto"/>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540" w:type="dxa"/>
            <w:tcBorders>
              <w:top w:val="nil"/>
              <w:left w:val="nil"/>
              <w:bottom w:val="single" w:sz="4" w:space="0" w:color="auto"/>
              <w:right w:val="single" w:sz="4" w:space="0" w:color="auto"/>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4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F140FD" w:rsidRPr="00F140FD" w:rsidTr="00F140FD">
        <w:trPr>
          <w:trHeight w:val="97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F140FD" w:rsidRPr="00F140FD" w:rsidTr="00F140FD">
        <w:trPr>
          <w:trHeight w:val="255"/>
        </w:trPr>
        <w:tc>
          <w:tcPr>
            <w:tcW w:w="640" w:type="dxa"/>
            <w:tcBorders>
              <w:top w:val="single" w:sz="4" w:space="0" w:color="auto"/>
              <w:left w:val="single" w:sz="4" w:space="0" w:color="auto"/>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nil"/>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AId1</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AId2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resolusi konflik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AId3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Keahlian &amp; pemahaman mediator tentang isu-isu masyarakat adat/lokal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3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II.Pengaturan Hak</w:t>
            </w: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F140FD" w:rsidRPr="00F140FD" w:rsidTr="00F140FD">
        <w:trPr>
          <w:trHeight w:val="6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AIIa1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Ketersediaan seluruh informasi secara sistematis sehingga mudah diakses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AIIa2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memiliki petugas khusus yang menangani permintaan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AIIa3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AIIa4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AIIa5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AIIa6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F140FD" w:rsidRPr="00F140FD" w:rsidTr="00F140FD">
        <w:trPr>
          <w:trHeight w:val="51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UU, Permenhut, Perda</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mendapatkan izin pengelolaan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AIIb3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Keuntungan bagi masyarakat Adat/Lokal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F140FD" w:rsidRPr="00F140FD" w:rsidTr="00F140FD">
        <w:trPr>
          <w:trHeight w:val="3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UU, Permenhut, Perda</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AIIc1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AIIc3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Ganti rugi bagi pemegang hak yang dirugikan (mudah &amp; memadai)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F140FD" w:rsidRPr="00F140FD" w:rsidTr="00F140FD">
        <w:trPr>
          <w:trHeight w:val="3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UU, Permenhut, Perda</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lastRenderedPageBreak/>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AIId1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AIId2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peningkatan kapasitas pemerintah (pada tingkatan) lebih rendah</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AIId3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mengakses anggaran peningkatan kapasitas bagi masyarakat Adat/Lokal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AIId4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3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III. Pengorganisasian Hutan</w:t>
            </w: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F140FD" w:rsidRPr="00F140FD" w:rsidTr="00F140FD">
        <w:trPr>
          <w:trHeight w:val="52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UU, Permenhut</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AIIIa1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Kejelasan tugas &amp; wewenang pengelolaan hutan &amp; lahan gambut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AIIIa2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Transparansi output tahunan dan capaian institusi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AIIIa3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Anggaran berbasis kinerja (Budget based on performance)</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AIIIa4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F140FD" w:rsidRPr="00F140FD" w:rsidTr="00F140FD">
        <w:trPr>
          <w:trHeight w:val="3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:(permenkum-ham) Cek dibiro hukum prov/kab</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Kejelasan lembaga yang bertanggung jawab</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harmonisasi aturan sebelum diundangkan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lastRenderedPageBreak/>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F140FD" w:rsidRPr="00F140FD" w:rsidTr="00F140FD">
        <w:trPr>
          <w:trHeight w:val="3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permenpan/SK Gub/Bup/Inpres 5/2004</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Keterbukaan proses pengisian posisi strategis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Penilaian pihak ketiga (independen) dalam proses pemilihan SDM</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verifikasi LHKPN dengan bantuan KPK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Batasan Conflict of Interest &amp; mekanisme yang harus dilakukan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AIIIc6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Pembuatan pakta integritas, pemenuhan kode etik dan kontrak kinerja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F140FD" w:rsidRPr="00F140FD" w:rsidTr="00F140FD">
        <w:trPr>
          <w:trHeight w:val="6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terkait dengan aturan lain, SK kemenhut/ kejaksaan/Kehakiman/KPK/PPATK, Kemenkeu</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AIIId1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Pembenahan case manage-ment sehingga menutup celah-celah abuse of power</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AIIId2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Sistem pengawasan dan pen-disiplinan internal di lembaga penegak hukum</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80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AIIId3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AIIId4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AIIId5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Pemenuhan rasio jumlah penegak hukum di bidang kehutanan dan lahan gambut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AIIId6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insentif dan disinsentif untuk mencapai penaatan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3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IV. Pengelolaan Hutan</w:t>
            </w: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AIVa1</w:t>
            </w:r>
          </w:p>
        </w:tc>
        <w:tc>
          <w:tcPr>
            <w:tcW w:w="2660" w:type="dxa"/>
            <w:vMerge w:val="restart"/>
            <w:tcBorders>
              <w:top w:val="nil"/>
              <w:left w:val="single" w:sz="4" w:space="0" w:color="auto"/>
              <w:bottom w:val="single" w:sz="4" w:space="0" w:color="000000"/>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FF0000"/>
                <w:sz w:val="20"/>
                <w:szCs w:val="20"/>
                <w:lang w:eastAsia="id-ID"/>
              </w:rPr>
            </w:pPr>
            <w:r w:rsidRPr="00F140FD">
              <w:rPr>
                <w:rFonts w:ascii="Times New Roman" w:eastAsia="Times New Roman" w:hAnsi="Times New Roman" w:cs="Times New Roman"/>
                <w:color w:val="FF0000"/>
                <w:sz w:val="20"/>
                <w:szCs w:val="20"/>
                <w:lang w:eastAsia="id-ID"/>
              </w:rPr>
              <w:t>Tidak ada item data dari sumber awal</w:t>
            </w:r>
          </w:p>
        </w:tc>
        <w:tc>
          <w:tcPr>
            <w:tcW w:w="1540" w:type="dxa"/>
            <w:tcBorders>
              <w:top w:val="nil"/>
              <w:left w:val="nil"/>
              <w:bottom w:val="single" w:sz="4" w:space="0" w:color="auto"/>
              <w:right w:val="single" w:sz="4" w:space="0" w:color="auto"/>
            </w:tcBorders>
            <w:shd w:val="clear" w:color="000000" w:fill="FFFF00"/>
            <w:noWrap/>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54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19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AIVa2</w:t>
            </w:r>
          </w:p>
        </w:tc>
        <w:tc>
          <w:tcPr>
            <w:tcW w:w="2660" w:type="dxa"/>
            <w:vMerge/>
            <w:tcBorders>
              <w:top w:val="nil"/>
              <w:left w:val="single" w:sz="4" w:space="0" w:color="auto"/>
              <w:bottom w:val="single" w:sz="4" w:space="0" w:color="000000"/>
              <w:right w:val="single" w:sz="4" w:space="0" w:color="auto"/>
            </w:tcBorders>
            <w:vAlign w:val="center"/>
            <w:hideMark/>
          </w:tcPr>
          <w:p w:rsidR="00F140FD" w:rsidRPr="00F140FD" w:rsidRDefault="00F140FD" w:rsidP="00F140FD">
            <w:pPr>
              <w:spacing w:after="0" w:line="240" w:lineRule="auto"/>
              <w:rPr>
                <w:rFonts w:ascii="Times New Roman" w:eastAsia="Times New Roman" w:hAnsi="Times New Roman" w:cs="Times New Roman"/>
                <w:color w:val="FF0000"/>
                <w:sz w:val="20"/>
                <w:szCs w:val="20"/>
                <w:lang w:eastAsia="id-ID"/>
              </w:rPr>
            </w:pPr>
          </w:p>
        </w:tc>
        <w:tc>
          <w:tcPr>
            <w:tcW w:w="1540" w:type="dxa"/>
            <w:tcBorders>
              <w:top w:val="nil"/>
              <w:left w:val="nil"/>
              <w:bottom w:val="single" w:sz="4" w:space="0" w:color="auto"/>
              <w:right w:val="single" w:sz="4" w:space="0" w:color="auto"/>
            </w:tcBorders>
            <w:shd w:val="clear" w:color="000000" w:fill="FFFF00"/>
            <w:noWrap/>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54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19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r>
      <w:tr w:rsidR="00F140FD" w:rsidRPr="00F140FD" w:rsidTr="00F140FD">
        <w:trPr>
          <w:trHeight w:val="79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F140FD" w:rsidRPr="00F140FD" w:rsidTr="00F140FD">
        <w:trPr>
          <w:trHeight w:val="48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SK Menhut/pertanian/ SK/perda-Gub/Bup</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AIVb3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AIVb4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AIVb5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AIVb6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F140FD" w:rsidRPr="00F140FD" w:rsidTr="00F140FD">
        <w:trPr>
          <w:trHeight w:val="3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SK Menhut/Pertanian, SK/Perda-Gub/Bup</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Pemberian respon yang bersifat terbuka atas setiap masukan yang ada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AIVc6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Pemberian penjelasan atas keputusan akhir yang diambil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0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AIVd1</w:t>
            </w:r>
          </w:p>
        </w:tc>
        <w:tc>
          <w:tcPr>
            <w:tcW w:w="2660" w:type="dxa"/>
            <w:vMerge w:val="restart"/>
            <w:tcBorders>
              <w:top w:val="nil"/>
              <w:left w:val="single" w:sz="4" w:space="0" w:color="auto"/>
              <w:bottom w:val="single" w:sz="4" w:space="0" w:color="000000"/>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FF0000"/>
                <w:sz w:val="20"/>
                <w:szCs w:val="20"/>
                <w:lang w:eastAsia="id-ID"/>
              </w:rPr>
            </w:pPr>
            <w:r w:rsidRPr="00F140FD">
              <w:rPr>
                <w:rFonts w:ascii="Times New Roman" w:eastAsia="Times New Roman" w:hAnsi="Times New Roman" w:cs="Times New Roman"/>
                <w:color w:val="FF0000"/>
                <w:sz w:val="20"/>
                <w:szCs w:val="20"/>
                <w:lang w:eastAsia="id-ID"/>
              </w:rPr>
              <w:t>Tidak ada item data dari sumber awal</w:t>
            </w:r>
          </w:p>
        </w:tc>
        <w:tc>
          <w:tcPr>
            <w:tcW w:w="1540" w:type="dxa"/>
            <w:tcBorders>
              <w:top w:val="nil"/>
              <w:left w:val="nil"/>
              <w:bottom w:val="single" w:sz="4" w:space="0" w:color="auto"/>
              <w:right w:val="single" w:sz="4" w:space="0" w:color="auto"/>
            </w:tcBorders>
            <w:shd w:val="clear" w:color="000000" w:fill="FFFF00"/>
            <w:noWrap/>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54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19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AIVd2</w:t>
            </w:r>
          </w:p>
        </w:tc>
        <w:tc>
          <w:tcPr>
            <w:tcW w:w="2660" w:type="dxa"/>
            <w:vMerge/>
            <w:tcBorders>
              <w:top w:val="nil"/>
              <w:left w:val="single" w:sz="4" w:space="0" w:color="auto"/>
              <w:bottom w:val="single" w:sz="4" w:space="0" w:color="000000"/>
              <w:right w:val="single" w:sz="4" w:space="0" w:color="auto"/>
            </w:tcBorders>
            <w:vAlign w:val="center"/>
            <w:hideMark/>
          </w:tcPr>
          <w:p w:rsidR="00F140FD" w:rsidRPr="00F140FD" w:rsidRDefault="00F140FD" w:rsidP="00F140FD">
            <w:pPr>
              <w:spacing w:after="0" w:line="240" w:lineRule="auto"/>
              <w:rPr>
                <w:rFonts w:ascii="Times New Roman" w:eastAsia="Times New Roman" w:hAnsi="Times New Roman" w:cs="Times New Roman"/>
                <w:color w:val="FF0000"/>
                <w:sz w:val="20"/>
                <w:szCs w:val="20"/>
                <w:lang w:eastAsia="id-ID"/>
              </w:rPr>
            </w:pPr>
          </w:p>
        </w:tc>
        <w:tc>
          <w:tcPr>
            <w:tcW w:w="1540" w:type="dxa"/>
            <w:tcBorders>
              <w:top w:val="nil"/>
              <w:left w:val="nil"/>
              <w:bottom w:val="single" w:sz="4" w:space="0" w:color="auto"/>
              <w:right w:val="single" w:sz="4" w:space="0" w:color="auto"/>
            </w:tcBorders>
            <w:shd w:val="clear" w:color="000000" w:fill="FFFF00"/>
            <w:noWrap/>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54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c>
          <w:tcPr>
            <w:tcW w:w="1920" w:type="dxa"/>
            <w:tcBorders>
              <w:top w:val="nil"/>
              <w:left w:val="nil"/>
              <w:bottom w:val="single" w:sz="4" w:space="0" w:color="auto"/>
              <w:right w:val="single" w:sz="4" w:space="0" w:color="auto"/>
            </w:tcBorders>
            <w:shd w:val="clear" w:color="000000" w:fill="FFFF00"/>
            <w:hideMark/>
          </w:tcPr>
          <w:p w:rsidR="00F140FD" w:rsidRPr="00F140FD" w:rsidRDefault="00F140FD" w:rsidP="00F140FD">
            <w:pPr>
              <w:spacing w:after="0" w:line="240" w:lineRule="auto"/>
              <w:jc w:val="center"/>
              <w:rPr>
                <w:rFonts w:ascii="Times New Roman" w:eastAsia="Times New Roman" w:hAnsi="Times New Roman" w:cs="Times New Roman"/>
                <w:color w:val="FFFF00"/>
                <w:sz w:val="20"/>
                <w:szCs w:val="20"/>
                <w:lang w:eastAsia="id-ID"/>
              </w:rPr>
            </w:pPr>
            <w:r w:rsidRPr="00F140FD">
              <w:rPr>
                <w:rFonts w:ascii="Times New Roman" w:eastAsia="Times New Roman" w:hAnsi="Times New Roman" w:cs="Times New Roman"/>
                <w:color w:val="FFFF00"/>
                <w:sz w:val="20"/>
                <w:szCs w:val="20"/>
                <w:lang w:eastAsia="id-ID"/>
              </w:rPr>
              <w:t> </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AIVe1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AIVe2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resolusi konflik dan penyelesaian sengketa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AIVe3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Mediator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AIVe4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3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V. Pengorganisasian Hutan</w:t>
            </w: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F140FD" w:rsidRPr="00F140FD" w:rsidTr="00F140FD">
        <w:trPr>
          <w:trHeight w:val="46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SK Menhut/Gub/Bu</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AVa1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Ketersediaan seluruh informasi secara sistematis dalam kaitannya dengan pengawasan internal dan eksternal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AVa2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AVa3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AVa4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75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F140FD" w:rsidRPr="00F140FD" w:rsidTr="00F140FD">
        <w:trPr>
          <w:trHeight w:val="43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Per/SK menhut/Gub/Bup</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xml:space="preserve">Mekanisme penerimaan pengaduan memudahkan bagi seluruh pihak (termasuk competitors) untuk menyampaikan </w:t>
            </w:r>
            <w:r w:rsidRPr="00F140FD">
              <w:rPr>
                <w:rFonts w:ascii="Times New Roman" w:eastAsia="Times New Roman" w:hAnsi="Times New Roman" w:cs="Times New Roman"/>
                <w:color w:val="000000"/>
                <w:sz w:val="20"/>
                <w:szCs w:val="20"/>
                <w:lang w:eastAsia="id-ID"/>
              </w:rPr>
              <w:lastRenderedPageBreak/>
              <w:t>pengaduan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AVb3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Dokumentasi setiap laporan pengaduan baik yang tertulis ataupun tidak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AVb4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AVb5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AVb6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Penunjukan satu petugas khusus yang bertanggungjawab mengelola masukan publik dalam proses pengawasan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AVc1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AVd1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Pelaksanaan perbaikan sistem secara partisipatif dari rekomendasi BPK dan KPK</w:t>
            </w:r>
          </w:p>
        </w:tc>
        <w:tc>
          <w:tcPr>
            <w:tcW w:w="1540" w:type="dxa"/>
            <w:tcBorders>
              <w:top w:val="nil"/>
              <w:left w:val="nil"/>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9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48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lastRenderedPageBreak/>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aturan KLH-kehutanan (satgas illegal loging)</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AVe1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Pendekatan multi-door ap-proach antara lain terdiri dari pendekatan pidana korupsi, anti money laundering, pidana pajak, dan pidana lingkungan hidup</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3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Isu dalam PGA REDD+</w:t>
            </w:r>
          </w:p>
        </w:tc>
        <w:tc>
          <w:tcPr>
            <w:tcW w:w="696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IV. Infrastruktur REDD+</w:t>
            </w: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76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F140FD" w:rsidRPr="00F140FD" w:rsidTr="00F140FD">
        <w:trPr>
          <w:trHeight w:val="34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8880" w:type="dxa"/>
            <w:gridSpan w:val="3"/>
            <w:tcBorders>
              <w:top w:val="nil"/>
              <w:left w:val="nil"/>
              <w:bottom w:val="single" w:sz="4" w:space="0" w:color="auto"/>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(UKP4, Permenhut, Perda/SK Gub/Bup)</w:t>
            </w:r>
            <w:r w:rsidRPr="00F140FD">
              <w:rPr>
                <w:rFonts w:ascii="Times New Roman" w:eastAsia="Times New Roman" w:hAnsi="Times New Roman" w:cs="Times New Roman"/>
                <w:b/>
                <w:bCs/>
                <w:color w:val="000000"/>
                <w:sz w:val="20"/>
                <w:szCs w:val="20"/>
                <w:lang w:eastAsia="id-ID"/>
              </w:rPr>
              <w:br/>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AVIa1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AVIa2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AVIa3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AVIa4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AVIa5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Sanksi bagi pihak-pihak yang sengaja menghambat akses publik atas informasi</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6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lastRenderedPageBreak/>
              <w:t>AVIb2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Dokumentasi setiap masukan baik yang tertulis ataupun tidak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512"/>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AVIb5</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51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AVIb6</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Penjelasan atas keputusan akhir yang diambil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AVIb7</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70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255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AVIc1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530"/>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AVIc2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resolusi konflik dan penyelesaian sengketa melalui jalur perundingan apabila terdapat perbedaan pandangan yg tajam atas suatu hal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AVIc3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Jasa mediator yang memiliki keahlian dan pemahaman tentang isu-isu adat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93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lastRenderedPageBreak/>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F140FD">
              <w:rPr>
                <w:rFonts w:ascii="Times New Roman" w:eastAsia="Times New Roman" w:hAnsi="Times New Roman" w:cs="Times New Roman"/>
                <w:b/>
                <w:bCs/>
                <w:color w:val="000000"/>
                <w:sz w:val="20"/>
                <w:szCs w:val="20"/>
                <w:lang w:eastAsia="id-ID"/>
              </w:rPr>
              <w:br/>
              <w:t xml:space="preserve"> </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AVId1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AVId2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660"/>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F140FD">
              <w:rPr>
                <w:rFonts w:ascii="Times New Roman" w:eastAsia="Times New Roman" w:hAnsi="Times New Roman" w:cs="Times New Roman"/>
                <w:b/>
                <w:bCs/>
                <w:color w:val="000000"/>
                <w:sz w:val="20"/>
                <w:szCs w:val="20"/>
                <w:lang w:eastAsia="id-ID"/>
              </w:rPr>
              <w:br/>
              <w:t xml:space="preserve"> </w:t>
            </w:r>
            <w:r w:rsidRPr="00F140FD">
              <w:rPr>
                <w:rFonts w:ascii="Times New Roman" w:eastAsia="Times New Roman" w:hAnsi="Times New Roman" w:cs="Times New Roman"/>
                <w:b/>
                <w:bCs/>
                <w:color w:val="000000"/>
                <w:sz w:val="20"/>
                <w:szCs w:val="20"/>
                <w:lang w:eastAsia="id-ID"/>
              </w:rPr>
              <w:br/>
              <w:t xml:space="preserve"> </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AVIe1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Pelaksanaan perbaikan sistem berdasarkan rekomendasi BPK secara partisipatif</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255"/>
        </w:trPr>
        <w:tc>
          <w:tcPr>
            <w:tcW w:w="6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266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54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5420" w:type="dxa"/>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p>
        </w:tc>
        <w:tc>
          <w:tcPr>
            <w:tcW w:w="1920" w:type="dxa"/>
            <w:tcBorders>
              <w:top w:val="nil"/>
              <w:left w:val="nil"/>
              <w:bottom w:val="nil"/>
              <w:right w:val="nil"/>
            </w:tcBorders>
            <w:shd w:val="clear" w:color="auto" w:fill="auto"/>
            <w:noWrap/>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p>
        </w:tc>
      </w:tr>
      <w:tr w:rsidR="00F140FD" w:rsidRPr="00F140FD" w:rsidTr="00F140FD">
        <w:trPr>
          <w:trHeight w:val="555"/>
        </w:trPr>
        <w:tc>
          <w:tcPr>
            <w:tcW w:w="3300" w:type="dxa"/>
            <w:gridSpan w:val="2"/>
            <w:tcBorders>
              <w:top w:val="nil"/>
              <w:left w:val="nil"/>
              <w:bottom w:val="nil"/>
              <w:right w:val="nil"/>
            </w:tcBorders>
            <w:shd w:val="clear" w:color="auto" w:fill="auto"/>
            <w:noWrap/>
            <w:hideMark/>
          </w:tcPr>
          <w:p w:rsidR="00F140FD" w:rsidRPr="00F140FD" w:rsidRDefault="00F140FD" w:rsidP="00F140FD">
            <w:pPr>
              <w:spacing w:after="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Indikator</w:t>
            </w:r>
          </w:p>
        </w:tc>
        <w:tc>
          <w:tcPr>
            <w:tcW w:w="8880" w:type="dxa"/>
            <w:gridSpan w:val="3"/>
            <w:tcBorders>
              <w:top w:val="nil"/>
              <w:left w:val="nil"/>
              <w:bottom w:val="nil"/>
              <w:right w:val="nil"/>
            </w:tcBorders>
            <w:shd w:val="clear" w:color="auto" w:fill="auto"/>
            <w:hideMark/>
          </w:tcPr>
          <w:p w:rsidR="00F140FD" w:rsidRPr="00F140FD" w:rsidRDefault="00F140FD" w:rsidP="00F140FD">
            <w:pPr>
              <w:spacing w:after="240" w:line="240" w:lineRule="auto"/>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F140FD">
              <w:rPr>
                <w:rFonts w:ascii="Times New Roman" w:eastAsia="Times New Roman" w:hAnsi="Times New Roman" w:cs="Times New Roman"/>
                <w:b/>
                <w:bCs/>
                <w:color w:val="000000"/>
                <w:sz w:val="20"/>
                <w:szCs w:val="20"/>
                <w:lang w:eastAsia="id-ID"/>
              </w:rPr>
              <w:br/>
              <w:t xml:space="preserve"> </w:t>
            </w:r>
          </w:p>
        </w:tc>
      </w:tr>
      <w:tr w:rsidR="00F140FD" w:rsidRPr="00F140FD" w:rsidTr="00F140FD">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Kode</w:t>
            </w:r>
          </w:p>
        </w:tc>
        <w:tc>
          <w:tcPr>
            <w:tcW w:w="266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Item Data</w:t>
            </w:r>
          </w:p>
        </w:tc>
        <w:tc>
          <w:tcPr>
            <w:tcW w:w="154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Data</w:t>
            </w:r>
          </w:p>
        </w:tc>
        <w:tc>
          <w:tcPr>
            <w:tcW w:w="54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Sumber Dokumen Hukum dan Kebijakan</w:t>
            </w:r>
          </w:p>
        </w:tc>
        <w:tc>
          <w:tcPr>
            <w:tcW w:w="1920" w:type="dxa"/>
            <w:tcBorders>
              <w:top w:val="single" w:sz="4" w:space="0" w:color="auto"/>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b/>
                <w:bCs/>
                <w:color w:val="000000"/>
                <w:sz w:val="20"/>
                <w:szCs w:val="20"/>
                <w:lang w:eastAsia="id-ID"/>
              </w:rPr>
            </w:pPr>
            <w:r w:rsidRPr="00F140FD">
              <w:rPr>
                <w:rFonts w:ascii="Times New Roman" w:eastAsia="Times New Roman" w:hAnsi="Times New Roman" w:cs="Times New Roman"/>
                <w:b/>
                <w:bCs/>
                <w:color w:val="000000"/>
                <w:sz w:val="20"/>
                <w:szCs w:val="20"/>
                <w:lang w:eastAsia="id-ID"/>
              </w:rPr>
              <w:t>Kategori Data</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AVIf1</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76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AVIf2</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275"/>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AVIf3</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r w:rsidR="00F140FD" w:rsidRPr="00F140FD" w:rsidTr="00F140FD">
        <w:trPr>
          <w:trHeight w:val="1020"/>
        </w:trPr>
        <w:tc>
          <w:tcPr>
            <w:tcW w:w="640" w:type="dxa"/>
            <w:tcBorders>
              <w:top w:val="nil"/>
              <w:left w:val="single" w:sz="4" w:space="0" w:color="auto"/>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AVIf4</w:t>
            </w:r>
          </w:p>
        </w:tc>
        <w:tc>
          <w:tcPr>
            <w:tcW w:w="266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54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 </w:t>
            </w:r>
          </w:p>
        </w:tc>
        <w:tc>
          <w:tcPr>
            <w:tcW w:w="54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Tidak ada Data maupun informasi yang diperoleh</w:t>
            </w:r>
          </w:p>
        </w:tc>
        <w:tc>
          <w:tcPr>
            <w:tcW w:w="1920" w:type="dxa"/>
            <w:tcBorders>
              <w:top w:val="nil"/>
              <w:left w:val="nil"/>
              <w:bottom w:val="single" w:sz="4" w:space="0" w:color="auto"/>
              <w:right w:val="single" w:sz="4" w:space="0" w:color="auto"/>
            </w:tcBorders>
            <w:shd w:val="clear" w:color="auto" w:fill="auto"/>
            <w:hideMark/>
          </w:tcPr>
          <w:p w:rsidR="00F140FD" w:rsidRPr="00F140FD" w:rsidRDefault="00F140FD" w:rsidP="00F140FD">
            <w:pPr>
              <w:spacing w:after="0" w:line="240" w:lineRule="auto"/>
              <w:jc w:val="center"/>
              <w:rPr>
                <w:rFonts w:ascii="Times New Roman" w:eastAsia="Times New Roman" w:hAnsi="Times New Roman" w:cs="Times New Roman"/>
                <w:color w:val="000000"/>
                <w:sz w:val="20"/>
                <w:szCs w:val="20"/>
                <w:lang w:eastAsia="id-ID"/>
              </w:rPr>
            </w:pPr>
            <w:r w:rsidRPr="00F140FD">
              <w:rPr>
                <w:rFonts w:ascii="Times New Roman" w:eastAsia="Times New Roman" w:hAnsi="Times New Roman" w:cs="Times New Roman"/>
                <w:color w:val="000000"/>
                <w:sz w:val="20"/>
                <w:szCs w:val="20"/>
                <w:lang w:eastAsia="id-ID"/>
              </w:rPr>
              <w:t>1</w:t>
            </w:r>
          </w:p>
        </w:tc>
      </w:tr>
    </w:tbl>
    <w:p w:rsidR="00F140FD" w:rsidRDefault="00F140FD"/>
    <w:sectPr w:rsidR="00F140FD"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4165D1"/>
    <w:rsid w:val="006E5970"/>
    <w:rsid w:val="00A91768"/>
    <w:rsid w:val="00A9322D"/>
    <w:rsid w:val="00BB5203"/>
    <w:rsid w:val="00D74DB4"/>
    <w:rsid w:val="00F140FD"/>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030688940">
      <w:bodyDiv w:val="1"/>
      <w:marLeft w:val="0"/>
      <w:marRight w:val="0"/>
      <w:marTop w:val="0"/>
      <w:marBottom w:val="0"/>
      <w:divBdr>
        <w:top w:val="none" w:sz="0" w:space="0" w:color="auto"/>
        <w:left w:val="none" w:sz="0" w:space="0" w:color="auto"/>
        <w:bottom w:val="none" w:sz="0" w:space="0" w:color="auto"/>
        <w:right w:val="none" w:sz="0" w:space="0" w:color="auto"/>
      </w:divBdr>
    </w:div>
    <w:div w:id="132011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12</Pages>
  <Words>3575</Words>
  <Characters>20383</Characters>
  <Application>Microsoft Office Word</Application>
  <DocSecurity>0</DocSecurity>
  <Lines>169</Lines>
  <Paragraphs>47</Paragraphs>
  <ScaleCrop>false</ScaleCrop>
  <Company/>
  <LinksUpToDate>false</LinksUpToDate>
  <CharactersWithSpaces>23911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2</cp:revision>
  <dcterms:created xsi:type="dcterms:W3CDTF">2012-10-16T01:42:00Z</dcterms:created>
  <dcterms:modified xsi:type="dcterms:W3CDTF">2012-10-16T07:47:00Z</dcterms:modified>
</cp:coreProperties>
</file>